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75D4B">
      <w:pPr>
        <w:pStyle w:val="3"/>
        <w:keepNext w:val="0"/>
        <w:keepLines w:val="0"/>
        <w:widowControl/>
        <w:suppressLineNumbers w:val="0"/>
        <w:jc w:val="center"/>
        <w:rPr>
          <w:rFonts w:hint="eastAsia" w:eastAsiaTheme="minorEastAsia"/>
          <w:lang w:val="en-US" w:eastAsia="zh-CN"/>
        </w:rPr>
      </w:pPr>
      <w:r>
        <w:t>《超级电容器</w:t>
      </w:r>
      <w:r>
        <w:rPr>
          <w:rFonts w:hint="eastAsia"/>
          <w:lang w:eastAsia="zh-CN"/>
        </w:rPr>
        <w:t>（</w:t>
      </w:r>
      <w:r>
        <w:t>新型储能相关</w:t>
      </w:r>
      <w:r>
        <w:rPr>
          <w:rFonts w:hint="eastAsia"/>
          <w:lang w:eastAsia="zh-CN"/>
        </w:rPr>
        <w:t>）</w:t>
      </w:r>
      <w:r>
        <w:t>政策法规汇编（</w:t>
      </w:r>
      <w:r>
        <w:rPr>
          <w:rFonts w:hint="eastAsia"/>
          <w:lang w:val="en-US" w:eastAsia="zh-CN"/>
        </w:rPr>
        <w:t>上半年度</w:t>
      </w:r>
      <w:r>
        <w:t>）》</w:t>
      </w:r>
      <w:r>
        <w:rPr>
          <w:rFonts w:hint="eastAsia"/>
          <w:lang w:val="en-US" w:eastAsia="zh-CN"/>
        </w:rPr>
        <w:t>报告摘要</w:t>
      </w:r>
    </w:p>
    <w:p w14:paraId="278667E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t>《超级电容器</w:t>
      </w:r>
      <w:r>
        <w:rPr>
          <w:rFonts w:hint="eastAsia"/>
          <w:lang w:eastAsia="zh-CN"/>
        </w:rPr>
        <w:t>（</w:t>
      </w:r>
      <w:r>
        <w:t>新型储能相关</w:t>
      </w:r>
      <w:r>
        <w:rPr>
          <w:rFonts w:hint="eastAsia"/>
          <w:lang w:eastAsia="zh-CN"/>
        </w:rPr>
        <w:t>）</w:t>
      </w:r>
      <w:r>
        <w:t>政策法规汇编（</w:t>
      </w:r>
      <w:r>
        <w:rPr>
          <w:rFonts w:hint="eastAsia"/>
          <w:lang w:val="en-US" w:eastAsia="zh-CN"/>
        </w:rPr>
        <w:t>上半年度</w:t>
      </w:r>
      <w:r>
        <w:t>）》由</w:t>
      </w:r>
      <w:r>
        <w:rPr>
          <w:rFonts w:hint="eastAsia"/>
          <w:lang w:val="en-US" w:eastAsia="zh-CN"/>
        </w:rPr>
        <w:t>中超数智</w:t>
      </w:r>
      <w:r>
        <w:t>团队</w:t>
      </w:r>
      <w:r>
        <w:rPr>
          <w:rFonts w:hint="eastAsia"/>
          <w:lang w:val="en-US" w:eastAsia="zh-CN"/>
        </w:rPr>
        <w:t>整理</w:t>
      </w:r>
      <w:r>
        <w:t>，聚焦超级电容器与新型储能领域，对2026年上半年国家及地方层面的相关政策法规进行系统</w:t>
      </w:r>
      <w:bookmarkStart w:id="0" w:name="_GoBack"/>
      <w:bookmarkEnd w:id="0"/>
      <w:r>
        <w:t>梳理与全文收录。</w:t>
      </w:r>
    </w:p>
    <w:p w14:paraId="1FB0FEE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t>汇编收录 2026年</w:t>
      </w:r>
      <w:r>
        <w:rPr>
          <w:rFonts w:hint="eastAsia"/>
          <w:lang w:val="en-US" w:eastAsia="zh-CN"/>
        </w:rPr>
        <w:t>1</w:t>
      </w:r>
      <w:r>
        <w:t>月1日至6月30日期间，由党中央、国务院、国务院有关部委以及各省（自治区、直辖市）和重点地市发布的政策文件共37件，按 "中央—部委—地方" 三级分25编编排，其中中央文件2件、国家部委文件3件、地方文件32件，覆盖23个省级行政区。</w:t>
      </w:r>
    </w:p>
    <w:p w14:paraId="271B15B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t>主题覆盖方面，汇编以新型储能为主线（26 件），涉及新型电力系统（10 件）、独立储能（8 件）、绿电直连（7 件）、新能源（7 件），以及电网侧储能、用户侧储能、充电基础设施、虚拟电厂、源网荷储、氢能、碳达峰碳中和等方向；山东省《2026 年新能源高水平消纳行动方案》、宁夏《培育壮大新材料产业集群行动方案》直接涉及超级电容及石墨烯新材料。重点政策包括中央《碳达峰碳中和综合评价考核办法》《关于更高水平更高质量做好节能降碳工作的意见》，部委《新型能源体系建设 "十五五" 规划》《关于有序推动多用户绿电直连发展有关事项的通知》《关于促进人工智能与能源双向赋能的行动方案》，以及各省新型储能发展指南、独立储能项目管理、绿电直连实施方案、充电基础设施建设方案等地方落地文件。</w:t>
      </w:r>
    </w:p>
    <w:p w14:paraId="29CC340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t>数据截止2026年6月</w:t>
      </w:r>
      <w:r>
        <w:rPr>
          <w:rFonts w:hint="eastAsia"/>
          <w:lang w:val="en-US" w:eastAsia="zh-CN"/>
        </w:rPr>
        <w:t>30日</w:t>
      </w:r>
      <w:r>
        <w:t>。</w:t>
      </w:r>
    </w:p>
    <w:p w14:paraId="6934C3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43F86"/>
    <w:rsid w:val="235603D5"/>
    <w:rsid w:val="5CD43F86"/>
    <w:rsid w:val="79B3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480" w:after="0"/>
      <w:outlineLvl w:val="0"/>
    </w:pPr>
    <w:rPr>
      <w:rFonts w:eastAsia="黑体" w:asciiTheme="majorAscii" w:hAnsiTheme="majorAscii" w:cstheme="majorBidi"/>
      <w:b/>
      <w:bCs/>
      <w:color w:val="000000"/>
      <w:sz w:val="32"/>
      <w:szCs w:val="28"/>
      <w:lang w:eastAsia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Heading 1 Char"/>
    <w:basedOn w:val="5"/>
    <w:link w:val="2"/>
    <w:qFormat/>
    <w:uiPriority w:val="9"/>
    <w:rPr>
      <w:rFonts w:eastAsia="黑体" w:asciiTheme="majorAscii" w:hAnsiTheme="majorAscii" w:cstheme="majorBidi"/>
      <w:b/>
      <w:bCs/>
      <w:color w:val="2E54A1" w:themeColor="accent1" w:themeShade="BF"/>
      <w:sz w:val="32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564</Words>
  <Characters>584</Characters>
  <Lines>0</Lines>
  <Paragraphs>0</Paragraphs>
  <TotalTime>0</TotalTime>
  <ScaleCrop>false</ScaleCrop>
  <LinksUpToDate>false</LinksUpToDate>
  <CharactersWithSpaces>595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2026-08-30T07:45:00Z</dcterms:created>
  <dc:creator>La Guardia.守护</dc:creator>
  <cp:lastModifiedBy>La Guardia.守护</cp:lastModifiedBy>
  <dcterms:modified xsi:type="dcterms:W3CDTF">2026-08-30T08:19:39Z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F84FC632951F43C7B609EF9AA934FBAA_11</vt:lpwstr>
  </property>
  <property fmtid="{D5CDD505-2E9C-101B-9397-08002B2CF9AE}" pid="4" name="KSOTemplateDocerSaveRecord">
    <vt:lpwstr>eyJoZGlkIjoiNjI4NTVmZGVlYzQwODdhZDI1NjljZDFjN2RmNDY3ZmQiLCJ1c2VySWQiOiI0MjE5ODExNjQifQ==</vt:lpwstr>
  </property>
</Properties>
</file>